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МИНИСТЕРСТВО ТРУДА И СОЦИАЛЬНОЙ ЗАЩИТЫ </w:t>
      </w: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РОССИЙСКОЙ ФЕДЕРАЦИИ </w:t>
      </w:r>
    </w:p>
    <w:p w:rsidR="00CF623E" w:rsidRDefault="00CF623E" w:rsidP="00CF623E">
      <w:pPr>
        <w:jc w:val="center"/>
        <w:rPr>
          <w:b/>
          <w:sz w:val="28"/>
          <w:szCs w:val="28"/>
        </w:rPr>
      </w:pP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CF623E" w:rsidRDefault="00CF623E" w:rsidP="00CF623E">
      <w:pPr>
        <w:jc w:val="center"/>
        <w:rPr>
          <w:sz w:val="28"/>
          <w:szCs w:val="28"/>
        </w:rPr>
      </w:pPr>
    </w:p>
    <w:p w:rsidR="00CF623E" w:rsidRDefault="00CF623E" w:rsidP="00CF623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20 января 2015 года № 24н</w:t>
      </w:r>
    </w:p>
    <w:p w:rsidR="00CF623E" w:rsidRDefault="00CF623E" w:rsidP="00CF623E">
      <w:pPr>
        <w:jc w:val="both"/>
        <w:rPr>
          <w:sz w:val="28"/>
          <w:szCs w:val="28"/>
        </w:rPr>
      </w:pP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Методику проведения специальной оценки условий труда и Классификатор вредных и (или) опасных </w:t>
      </w: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производственных факторов, утвержденные приказом Министерства труда и социальной защиты Российской Федерации от 24 января 2014 г. № 33н</w:t>
      </w:r>
    </w:p>
    <w:p w:rsidR="00CF623E" w:rsidRDefault="00CF623E" w:rsidP="00CF623E">
      <w:pPr>
        <w:jc w:val="both"/>
        <w:rPr>
          <w:sz w:val="28"/>
          <w:szCs w:val="28"/>
        </w:rPr>
      </w:pPr>
    </w:p>
    <w:p w:rsidR="00CF623E" w:rsidRDefault="00CF623E" w:rsidP="00CF62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CF623E" w:rsidRDefault="00CF623E" w:rsidP="00CF623E">
      <w:pPr>
        <w:jc w:val="both"/>
        <w:rPr>
          <w:sz w:val="28"/>
          <w:szCs w:val="28"/>
        </w:rPr>
      </w:pP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Методику проведения специальной оценки условий труда и Классификатор вредных и (или) опасных производственных факторов, утвержденные приказом Министерства труда и социальной защиты Российской Федерации от 24 января 2014 г. № 33н (зарегистрирован Министерством юстиции Российской Федерации 21 марта 2014 г. № 31689), согласно приложению.</w:t>
      </w:r>
    </w:p>
    <w:p w:rsidR="00CF623E" w:rsidRDefault="00CF623E" w:rsidP="00CF623E">
      <w:pPr>
        <w:jc w:val="both"/>
        <w:rPr>
          <w:sz w:val="28"/>
          <w:szCs w:val="28"/>
        </w:rPr>
      </w:pPr>
    </w:p>
    <w:p w:rsidR="00CF623E" w:rsidRDefault="00CF623E" w:rsidP="00CF62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Министр </w:t>
      </w:r>
      <w:r>
        <w:rPr>
          <w:sz w:val="28"/>
          <w:szCs w:val="28"/>
        </w:rPr>
        <w:br/>
        <w:t xml:space="preserve">М.А. </w:t>
      </w:r>
      <w:proofErr w:type="spellStart"/>
      <w:r>
        <w:rPr>
          <w:sz w:val="28"/>
          <w:szCs w:val="28"/>
        </w:rPr>
        <w:t>Топилин</w:t>
      </w:r>
      <w:proofErr w:type="spellEnd"/>
    </w:p>
    <w:p w:rsidR="00CF623E" w:rsidRDefault="00CF623E" w:rsidP="00CF623E">
      <w:pPr>
        <w:jc w:val="right"/>
        <w:rPr>
          <w:sz w:val="28"/>
          <w:szCs w:val="28"/>
        </w:rPr>
      </w:pPr>
    </w:p>
    <w:p w:rsidR="00CF623E" w:rsidRDefault="00CF623E" w:rsidP="00CF623E">
      <w:pPr>
        <w:jc w:val="right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4500"/>
        <w:jc w:val="center"/>
        <w:rPr>
          <w:sz w:val="28"/>
          <w:szCs w:val="28"/>
        </w:rPr>
      </w:pPr>
    </w:p>
    <w:p w:rsidR="00CF623E" w:rsidRDefault="00CF623E" w:rsidP="00CF623E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CF623E" w:rsidRDefault="00CF623E" w:rsidP="00CF623E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приказу Министерства труда и </w:t>
      </w:r>
    </w:p>
    <w:p w:rsidR="00CF623E" w:rsidRDefault="00CF623E" w:rsidP="00CF623E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>социальной защиты Российской Федерации</w:t>
      </w:r>
    </w:p>
    <w:p w:rsidR="00CF623E" w:rsidRDefault="00CF623E" w:rsidP="00CF623E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>от 20 января 2015 г. № 24н</w:t>
      </w:r>
    </w:p>
    <w:p w:rsidR="00CF623E" w:rsidRDefault="00CF623E" w:rsidP="00CF623E">
      <w:pPr>
        <w:jc w:val="center"/>
        <w:rPr>
          <w:b/>
          <w:sz w:val="28"/>
          <w:szCs w:val="28"/>
        </w:rPr>
      </w:pPr>
    </w:p>
    <w:p w:rsidR="00CF623E" w:rsidRDefault="00CF623E" w:rsidP="00CF623E">
      <w:pPr>
        <w:jc w:val="center"/>
        <w:rPr>
          <w:b/>
          <w:sz w:val="28"/>
          <w:szCs w:val="28"/>
        </w:rPr>
      </w:pP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Методику проведения специальной оценки условий труда и Классификатор вредных и (или) опасных производственных факторов, утвержденные приказом Министерства труда и социальной защиты </w:t>
      </w:r>
    </w:p>
    <w:p w:rsidR="00CF623E" w:rsidRDefault="00CF623E" w:rsidP="00CF6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 Федерации от 24 января 2014 г. № 33н</w:t>
      </w:r>
    </w:p>
    <w:p w:rsidR="00CF623E" w:rsidRDefault="00CF623E" w:rsidP="00CF623E"/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Методике проведения специальной оценки условий труда (приложение </w:t>
      </w:r>
      <w:r>
        <w:rPr>
          <w:sz w:val="28"/>
          <w:szCs w:val="28"/>
        </w:rPr>
        <w:br/>
        <w:t>№ 1 к приказу):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пункт 29 изложить в следующей редакции: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29. </w:t>
      </w:r>
      <w:proofErr w:type="gramStart"/>
      <w:r>
        <w:rPr>
          <w:color w:val="000000"/>
          <w:sz w:val="28"/>
          <w:szCs w:val="28"/>
        </w:rPr>
        <w:t>Отнесение условий труда к классу (подклассу) условий труда при воздействии биологического фактора (работы с микроорганизмами-продуцентами, живыми клетками и спорами, содержащимися в бактериальных препаратах) осуществляется в зависимости от превышения значений фактической концентрации микроорганизмов-продуцентов, бактериальных препаратов и их компонентов в воздухе рабочей зоны над значениями предельно допустимой концентрации данных веществ, установленными соответствующими гигиеническими нормативами.</w:t>
      </w:r>
      <w:proofErr w:type="gramEnd"/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Отнесение условий труда к классу (подклассу) условий труда при воздействии биологического фактора (работы с патогенными микроорганизмами) осуществляется независимо от концентрации патогенных микроорганизмов и без проведения исследований (испытаний) и измерений в отношении: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рабочих мест организаций, осуществляющих деятельность в области использования возбудителей инфекционных заболеваний человека и животных и (или) в замкнутых системах генно-инженерно-модифицированных организмов </w:t>
      </w:r>
      <w:r>
        <w:rPr>
          <w:color w:val="000000"/>
          <w:sz w:val="28"/>
          <w:szCs w:val="28"/>
          <w:lang w:val="en-US"/>
        </w:rPr>
        <w:t>III</w:t>
      </w:r>
      <w:r w:rsidRPr="00CF62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</w:rPr>
        <w:t xml:space="preserve"> степеней потенциальной опасности при наличии соответствующих разрешительных документов (лицензии) на право осуществления такой деятельности;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рабочих мест организаций, осуществляющих деятельность в области использования в замкнутых системах генно-инженерно-модифицированных организмов </w:t>
      </w: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 xml:space="preserve"> степени потенциальной опасности;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рабочих мест медицинских и иных работников, непосредственно осуществляющих медицинскую деятельность;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рабочих мест работников, непосредственно осуществляющих ветеринарную деятельность, государственный ветеринарный надзор и (или) проводящих ветеринарно-санитарную экспертизу.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Отнесение условий труда к классу (подклассу) условий труда при воздействии биологического фактора осуществляется в соответствии с приложением № 9 к настоящей Методике</w:t>
      </w:r>
      <w:proofErr w:type="gramStart"/>
      <w:r>
        <w:rPr>
          <w:color w:val="000000"/>
          <w:sz w:val="28"/>
          <w:szCs w:val="28"/>
        </w:rPr>
        <w:t>.»;</w:t>
      </w:r>
      <w:proofErr w:type="gramEnd"/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 приложение № 9 к Методике изложить в следующей редакции:</w:t>
      </w:r>
    </w:p>
    <w:p w:rsidR="00CF623E" w:rsidRDefault="00CF623E" w:rsidP="00CF623E">
      <w:pPr>
        <w:ind w:firstLine="6237"/>
        <w:rPr>
          <w:sz w:val="28"/>
          <w:szCs w:val="28"/>
        </w:rPr>
      </w:pP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>«Приложение № 9</w:t>
      </w: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>к Методике проведения</w:t>
      </w: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>специальной оценки условий</w:t>
      </w: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труда, </w:t>
      </w:r>
      <w:proofErr w:type="gramStart"/>
      <w:r>
        <w:rPr>
          <w:sz w:val="28"/>
          <w:szCs w:val="28"/>
        </w:rPr>
        <w:t>утвержденной</w:t>
      </w:r>
      <w:proofErr w:type="gramEnd"/>
      <w:r>
        <w:rPr>
          <w:sz w:val="28"/>
          <w:szCs w:val="28"/>
        </w:rPr>
        <w:t xml:space="preserve"> приказом</w:t>
      </w: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>Минтруда России</w:t>
      </w:r>
    </w:p>
    <w:p w:rsidR="00CF623E" w:rsidRDefault="00CF623E" w:rsidP="00CF623E">
      <w:pPr>
        <w:ind w:left="5529"/>
        <w:rPr>
          <w:color w:val="000000"/>
          <w:sz w:val="28"/>
          <w:szCs w:val="28"/>
        </w:rPr>
      </w:pPr>
      <w:r>
        <w:rPr>
          <w:sz w:val="28"/>
          <w:szCs w:val="28"/>
        </w:rPr>
        <w:t>от 24 января 2014 г. №</w:t>
      </w:r>
      <w:r>
        <w:rPr>
          <w:color w:val="000000"/>
          <w:sz w:val="28"/>
          <w:szCs w:val="28"/>
        </w:rPr>
        <w:t xml:space="preserve"> 33н</w:t>
      </w: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</w:p>
    <w:p w:rsidR="00CF623E" w:rsidRDefault="00CF623E" w:rsidP="00CF623E">
      <w:pPr>
        <w:ind w:firstLine="709"/>
        <w:jc w:val="both"/>
        <w:rPr>
          <w:color w:val="000000"/>
          <w:sz w:val="28"/>
          <w:szCs w:val="28"/>
        </w:rPr>
      </w:pPr>
    </w:p>
    <w:p w:rsidR="00CF623E" w:rsidRDefault="00CF623E" w:rsidP="00CF623E">
      <w:pPr>
        <w:jc w:val="center"/>
        <w:rPr>
          <w:b/>
          <w:sz w:val="28"/>
        </w:rPr>
      </w:pPr>
      <w:r>
        <w:rPr>
          <w:b/>
          <w:color w:val="000000"/>
          <w:sz w:val="28"/>
          <w:szCs w:val="28"/>
        </w:rPr>
        <w:t>Отнесение условий труда к классу (подклассу)</w:t>
      </w:r>
      <w:r>
        <w:rPr>
          <w:b/>
          <w:sz w:val="28"/>
        </w:rPr>
        <w:t xml:space="preserve"> условий труда </w:t>
      </w:r>
    </w:p>
    <w:p w:rsidR="00CF623E" w:rsidRDefault="00CF623E" w:rsidP="00CF623E">
      <w:pPr>
        <w:jc w:val="center"/>
        <w:rPr>
          <w:b/>
          <w:color w:val="000000"/>
          <w:sz w:val="28"/>
        </w:rPr>
      </w:pPr>
      <w:r>
        <w:rPr>
          <w:b/>
          <w:sz w:val="28"/>
        </w:rPr>
        <w:t>при воздействии биологического фактора</w:t>
      </w:r>
    </w:p>
    <w:p w:rsidR="00CF623E" w:rsidRDefault="00CF623E" w:rsidP="00CF623E"/>
    <w:tbl>
      <w:tblPr>
        <w:tblW w:w="936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1"/>
        <w:gridCol w:w="1561"/>
        <w:gridCol w:w="850"/>
        <w:gridCol w:w="851"/>
        <w:gridCol w:w="850"/>
        <w:gridCol w:w="851"/>
        <w:gridCol w:w="1276"/>
      </w:tblGrid>
      <w:tr w:rsidR="00CF623E" w:rsidTr="00CF623E">
        <w:trPr>
          <w:trHeight w:val="651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биологического фактора</w:t>
            </w:r>
          </w:p>
        </w:tc>
        <w:tc>
          <w:tcPr>
            <w:tcW w:w="62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Класс (подкласс) условий труда </w:t>
            </w:r>
          </w:p>
        </w:tc>
      </w:tr>
      <w:tr w:rsidR="00CF623E" w:rsidTr="00CF623E">
        <w:trPr>
          <w:trHeight w:val="24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допустимый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вредный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опасный</w:t>
            </w:r>
          </w:p>
        </w:tc>
      </w:tr>
      <w:tr w:rsidR="00CF623E" w:rsidTr="00CF623E">
        <w:trPr>
          <w:trHeight w:val="25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F623E" w:rsidTr="00CF623E">
        <w:trPr>
          <w:trHeight w:val="60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Микроорганизмы-продуценты, живые клетки и споры, содержащиеся в бактериальных препаратах</w:t>
            </w:r>
            <w:r>
              <w:rPr>
                <w:rStyle w:val="a6"/>
                <w:color w:val="000000"/>
              </w:rPr>
              <w:footnoteReference w:customMarkFollows="1" w:id="1"/>
              <w:sym w:font="Symbol" w:char="F02A"/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≤ ПДК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 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F623E" w:rsidTr="00CF623E">
        <w:trPr>
          <w:trHeight w:val="47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Патогенные микроорганизмы, </w:t>
            </w:r>
          </w:p>
          <w:p w:rsidR="00CF623E" w:rsidRDefault="00CF623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3E" w:rsidTr="00CF623E">
        <w:trPr>
          <w:trHeight w:val="52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a3"/>
              <w:spacing w:before="0" w:beforeAutospacing="0" w:after="0" w:afterAutospacing="0"/>
              <w:jc w:val="both"/>
            </w:pPr>
            <w:r>
              <w:rPr>
                <w:rStyle w:val="mw-headline"/>
              </w:rPr>
              <w:lastRenderedPageBreak/>
              <w:t>I группа патогенности – возбудители особо опасных инфекций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</w:p>
        </w:tc>
      </w:tr>
      <w:tr w:rsidR="00CF623E" w:rsidTr="00CF623E">
        <w:trPr>
          <w:trHeight w:val="60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23E" w:rsidRDefault="00CF623E">
            <w:pPr>
              <w:pStyle w:val="2"/>
              <w:ind w:left="0" w:firstLine="0"/>
              <w:rPr>
                <w:spacing w:val="0"/>
                <w:szCs w:val="24"/>
              </w:rPr>
            </w:pPr>
            <w:r>
              <w:rPr>
                <w:rStyle w:val="mw-headline"/>
                <w:spacing w:val="0"/>
                <w:szCs w:val="24"/>
              </w:rPr>
              <w:t xml:space="preserve">II группа </w:t>
            </w:r>
            <w:r>
              <w:rPr>
                <w:rStyle w:val="mw-headline"/>
                <w:spacing w:val="0"/>
              </w:rPr>
              <w:t>патогенности</w:t>
            </w:r>
            <w:r>
              <w:rPr>
                <w:rStyle w:val="mw-headline"/>
                <w:spacing w:val="0"/>
                <w:szCs w:val="24"/>
              </w:rPr>
              <w:t xml:space="preserve"> – возбудители </w:t>
            </w:r>
            <w:proofErr w:type="spellStart"/>
            <w:r>
              <w:rPr>
                <w:rStyle w:val="mw-headline"/>
                <w:spacing w:val="0"/>
                <w:szCs w:val="24"/>
              </w:rPr>
              <w:t>высококонтагиозных</w:t>
            </w:r>
            <w:proofErr w:type="spellEnd"/>
            <w:r>
              <w:rPr>
                <w:rStyle w:val="mw-headline"/>
                <w:spacing w:val="0"/>
                <w:szCs w:val="24"/>
              </w:rPr>
              <w:t xml:space="preserve"> эпидемических заболеваний человека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3E" w:rsidTr="00CF623E">
        <w:trPr>
          <w:trHeight w:val="60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F623E" w:rsidRDefault="00CF623E">
            <w:pPr>
              <w:pStyle w:val="a3"/>
              <w:spacing w:before="0" w:beforeAutospacing="0" w:after="0" w:afterAutospacing="0"/>
              <w:jc w:val="both"/>
            </w:pPr>
            <w:r>
              <w:rPr>
                <w:rStyle w:val="mw-headline"/>
              </w:rPr>
              <w:t>I</w:t>
            </w:r>
            <w:r>
              <w:rPr>
                <w:rStyle w:val="mw-headline"/>
                <w:lang w:val="en-US"/>
              </w:rPr>
              <w:t>I</w:t>
            </w:r>
            <w:r>
              <w:rPr>
                <w:rStyle w:val="mw-headline"/>
              </w:rPr>
              <w:t>I группа патогенности – возбудители инфекционных болезней, выделяемые в самостоятельные нозологические группы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623E" w:rsidTr="00CF623E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23E" w:rsidRDefault="00CF623E">
            <w:pPr>
              <w:pStyle w:val="a3"/>
              <w:spacing w:before="0" w:beforeAutospacing="0" w:after="0" w:afterAutospacing="0"/>
              <w:jc w:val="both"/>
            </w:pPr>
            <w:r>
              <w:rPr>
                <w:rStyle w:val="mw-headline"/>
              </w:rPr>
              <w:t>I</w:t>
            </w:r>
            <w:r>
              <w:rPr>
                <w:rStyle w:val="mw-headline"/>
                <w:lang w:val="en-US"/>
              </w:rPr>
              <w:t>V</w:t>
            </w:r>
            <w:r>
              <w:rPr>
                <w:rStyle w:val="mw-headline"/>
              </w:rPr>
              <w:t xml:space="preserve"> группа патогенности – условно-патогенные микроорганизмы (возбудители оппортунистических инфекций)».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cs="Times New Roman"/>
                <w:color w:val="000000"/>
                <w:sz w:val="24"/>
                <w:szCs w:val="24"/>
                <w:vertAlign w:val="superscrip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3E" w:rsidRDefault="00CF62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Классификаторе вредных и (или) опасных производственных факторов (приложение № 2 к приказу):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подпункт 1.4.1 изложить в следующей редакции: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6"/>
        <w:gridCol w:w="8020"/>
      </w:tblGrid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both"/>
            </w:pPr>
            <w:r>
              <w:rPr>
                <w:sz w:val="28"/>
                <w:szCs w:val="28"/>
              </w:rPr>
              <w:t>«1.4.1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Освещенность рабочей поверхности</w:t>
            </w:r>
            <w:proofErr w:type="gramStart"/>
            <w:r>
              <w:rPr>
                <w:sz w:val="28"/>
                <w:szCs w:val="28"/>
                <w:vertAlign w:val="superscript"/>
              </w:rPr>
              <w:t>4</w:t>
            </w:r>
            <w:proofErr w:type="gramEnd"/>
            <w:r>
              <w:rPr>
                <w:sz w:val="28"/>
                <w:szCs w:val="28"/>
              </w:rPr>
              <w:t>»;</w:t>
            </w:r>
          </w:p>
        </w:tc>
      </w:tr>
    </w:tbl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пункт 3 изложить в следующей редакции: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6"/>
        <w:gridCol w:w="8020"/>
      </w:tblGrid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«3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Биологический фактор</w:t>
            </w:r>
          </w:p>
        </w:tc>
      </w:tr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Микроорганизмы-продуценты, живые клетки и споры, содержащиеся в бактериальных препаратах</w:t>
            </w:r>
          </w:p>
        </w:tc>
      </w:tr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Патогенные микроорганизмы – возбудители особо опасных инфекционных  заболеваний</w:t>
            </w:r>
            <w:r>
              <w:rPr>
                <w:rStyle w:val="a6"/>
                <w:sz w:val="28"/>
                <w:szCs w:val="28"/>
              </w:rPr>
              <w:t>8</w:t>
            </w:r>
          </w:p>
        </w:tc>
      </w:tr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Патогенные микроорганизмы – возбудители </w:t>
            </w:r>
            <w:proofErr w:type="spellStart"/>
            <w:r>
              <w:rPr>
                <w:sz w:val="28"/>
                <w:szCs w:val="28"/>
              </w:rPr>
              <w:t>высококонтагиозных</w:t>
            </w:r>
            <w:proofErr w:type="spellEnd"/>
            <w:r>
              <w:rPr>
                <w:sz w:val="28"/>
                <w:szCs w:val="28"/>
              </w:rPr>
              <w:t xml:space="preserve"> эпидемических заболеваний человека</w:t>
            </w:r>
            <w:r>
              <w:rPr>
                <w:rStyle w:val="a6"/>
                <w:sz w:val="28"/>
                <w:szCs w:val="28"/>
              </w:rPr>
              <w:t>8</w:t>
            </w:r>
          </w:p>
        </w:tc>
      </w:tr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Патогенные микроорганизмы – возбудители инфекционных болезней, выделяемые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самостоятельные нозологические группы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</w:tr>
      <w:tr w:rsidR="00CF623E" w:rsidTr="00CF623E">
        <w:trPr>
          <w:trHeight w:val="255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CF623E" w:rsidRDefault="00CF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8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F623E" w:rsidRDefault="00CF6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Условно-патогенные микроорганизмы (возбудители оппортунистических инфекций)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>»;</w:t>
            </w:r>
          </w:p>
        </w:tc>
      </w:tr>
    </w:tbl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сноску «4» изложить в следующей редакции: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>
        <w:rPr>
          <w:sz w:val="28"/>
          <w:szCs w:val="28"/>
          <w:vertAlign w:val="superscript"/>
        </w:rPr>
        <w:t>4</w:t>
      </w:r>
      <w:r>
        <w:rPr>
          <w:sz w:val="28"/>
          <w:szCs w:val="28"/>
        </w:rPr>
        <w:t xml:space="preserve"> Идентифицируется как вредный и (или) опасный фактор только при выполнении прецизионных работ с величиной объектов различения менее 0,5 мм, при наличии слепящих источников света, при проведении работ с объектами различения и рабочими поверхностями, обладающими направленно-рассеянным и смешанным отражением, или при осуществлении подземных работ, в том числе работ по эксплуатации метрополитена.»;</w:t>
      </w:r>
      <w:proofErr w:type="gramEnd"/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сноску «8» изложить в следующей редакции: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vertAlign w:val="superscript"/>
        </w:rPr>
        <w:t>8</w:t>
      </w:r>
      <w:proofErr w:type="gramStart"/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дентифицируются как вредные и (или) опасные факторы только на рабочих местах: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организаций, осуществляющих деятельность в области использования возбудителей инфекционных заболеваний человека и животных и (или) в замкнутых системах генно-инженерно-модифицированных организмов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степеней потенциальной опасности при наличии соответствующих разрешительных документов (лицензии) на право осуществления такой деятельности;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организаций, осуществляющих деятельность в области использования в замкнутых системах генно-инженерно-модифицированных организмов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потенциальной опасности;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медицинских и иных работников, непосредственно осуществляющих медицинскую деятельность;</w:t>
      </w:r>
    </w:p>
    <w:p w:rsidR="00CF623E" w:rsidRDefault="00CF623E" w:rsidP="00CF6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работников, непосредственно осуществляющих ветеринарную деятельность, государственный ветеринарный надзор и (или) проводящих ветеринарно-санитарную экспертизу</w:t>
      </w:r>
      <w:proofErr w:type="gramStart"/>
      <w:r>
        <w:rPr>
          <w:sz w:val="28"/>
          <w:szCs w:val="28"/>
        </w:rPr>
        <w:t xml:space="preserve">.». </w:t>
      </w:r>
      <w:proofErr w:type="gramEnd"/>
    </w:p>
    <w:p w:rsidR="00CF623E" w:rsidRDefault="00CF623E" w:rsidP="00CF623E">
      <w:pPr>
        <w:jc w:val="right"/>
        <w:rPr>
          <w:sz w:val="28"/>
          <w:szCs w:val="28"/>
        </w:rPr>
      </w:pPr>
    </w:p>
    <w:p w:rsidR="001424FF" w:rsidRDefault="001424FF">
      <w:bookmarkStart w:id="0" w:name="_GoBack"/>
      <w:bookmarkEnd w:id="0"/>
    </w:p>
    <w:sectPr w:rsidR="0014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482" w:rsidRDefault="00944482" w:rsidP="00CF623E">
      <w:r>
        <w:separator/>
      </w:r>
    </w:p>
  </w:endnote>
  <w:endnote w:type="continuationSeparator" w:id="0">
    <w:p w:rsidR="00944482" w:rsidRDefault="00944482" w:rsidP="00CF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482" w:rsidRDefault="00944482" w:rsidP="00CF623E">
      <w:r>
        <w:separator/>
      </w:r>
    </w:p>
  </w:footnote>
  <w:footnote w:type="continuationSeparator" w:id="0">
    <w:p w:rsidR="00944482" w:rsidRDefault="00944482" w:rsidP="00CF623E">
      <w:r>
        <w:continuationSeparator/>
      </w:r>
    </w:p>
  </w:footnote>
  <w:footnote w:id="1">
    <w:p w:rsidR="00CF623E" w:rsidRDefault="00CF623E" w:rsidP="00CF623E">
      <w:pPr>
        <w:pStyle w:val="a5"/>
        <w:jc w:val="both"/>
        <w:rPr>
          <w:sz w:val="20"/>
          <w:szCs w:val="20"/>
        </w:rPr>
      </w:pPr>
      <w:r>
        <w:rPr>
          <w:rStyle w:val="a6"/>
        </w:rPr>
        <w:sym w:font="Symbol" w:char="F02A"/>
      </w:r>
      <w:r>
        <w:t xml:space="preserve"> </w:t>
      </w:r>
      <w:proofErr w:type="gramStart"/>
      <w:r>
        <w:t>Класс (подкласс) условий труда определяется исходя из превышения (количество раз) значений фактической концентрации микроорганизмов-продуцентов, бактериальных препаратов и их компонентов в воздухе рабочей зоны над значениями предельно допустимой концентрации данных веществ</w:t>
      </w:r>
      <w:r>
        <w:rPr>
          <w:rStyle w:val="mw-headline"/>
        </w:rPr>
        <w:t xml:space="preserve">, установленными ГН 2.2.6.2178-07 «Предельно допустимые концентрации (ПДК) микроорганизмов-продуцентов, бактериальных препаратов и их компонентов в воздухе рабочей зоны», утвержденными постановлением Главного государственного санитарного врача Российской Федерации от 6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mw-headline"/>
          </w:rPr>
          <w:t>2007</w:t>
        </w:r>
        <w:proofErr w:type="gramEnd"/>
        <w:r>
          <w:rPr>
            <w:rStyle w:val="mw-headline"/>
          </w:rPr>
          <w:t xml:space="preserve"> </w:t>
        </w:r>
        <w:proofErr w:type="gramStart"/>
        <w:r>
          <w:rPr>
            <w:rStyle w:val="mw-headline"/>
          </w:rPr>
          <w:t>г</w:t>
        </w:r>
      </w:smartTag>
      <w:r>
        <w:rPr>
          <w:rStyle w:val="mw-headline"/>
        </w:rPr>
        <w:t xml:space="preserve">. № 10 (зарегистрировано Минюстом России 5 апреля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mw-headline"/>
          </w:rPr>
          <w:t>2007 г</w:t>
        </w:r>
      </w:smartTag>
      <w:r>
        <w:rPr>
          <w:rStyle w:val="mw-headline"/>
        </w:rPr>
        <w:t xml:space="preserve">. № 9256), с изменениями, внесенными </w:t>
      </w:r>
      <w:r>
        <w:t xml:space="preserve">постановлениями Главного государственного санитарного врача Российской Федерации </w:t>
      </w:r>
      <w:r>
        <w:br/>
        <w:t xml:space="preserve">от 10 сентября 2007 г. № 70 (зарегистрировано Минюстом России 3 октября 2007 г. № 10258), от 28 октября 2008 г. </w:t>
      </w:r>
      <w:r>
        <w:br/>
        <w:t>№ 63 (зарегистрировано Минюстом России 24 ноября 2008 г. № 12720), от 2 августа 2010 г. № 96 (зарегистрировано Минюстом России 2 сентября 2010</w:t>
      </w:r>
      <w:proofErr w:type="gramEnd"/>
      <w:r>
        <w:t xml:space="preserve"> г. № 18344), от 10 ноября 2010 г. № 143 (зарегистрировано Минюстом России </w:t>
      </w:r>
      <w:r>
        <w:br/>
        <w:t xml:space="preserve">23 декабря 2010 г. № 19352), от 16 сентября 2013 г. № 46 (зарегистрировано Минюстом России 15 октября 2013 г. </w:t>
      </w:r>
      <w:r>
        <w:br/>
        <w:t>№ 30190).</w:t>
      </w:r>
    </w:p>
    <w:p w:rsidR="00CF623E" w:rsidRDefault="00CF623E" w:rsidP="00CF623E">
      <w:pPr>
        <w:pStyle w:val="a5"/>
        <w:jc w:val="both"/>
      </w:pPr>
      <w:r>
        <w:rPr>
          <w:rStyle w:val="a6"/>
        </w:rPr>
        <w:t xml:space="preserve">** </w:t>
      </w:r>
      <w:r>
        <w:t xml:space="preserve">Независимо от концентрации патогенных микроорганизмов условия труда относятся к соответствующему классу без проведения измерений. </w:t>
      </w:r>
      <w:proofErr w:type="gramStart"/>
      <w:r>
        <w:t xml:space="preserve">Группа патогенности микроорганизмов определяется в соответствии с Классификацией биологических агентов, вызывающих болезни человека, по группам патогенности, утвержденной постановлением Главного государственного санитарного врача Российской Федерации от 28 ноября 2013 г. № 64 «Об утверждении Санитарно-эпидемиологических правил СП 1.3.3118-13 «Безопасность работы с микроорганизмами </w:t>
      </w:r>
      <w:r>
        <w:rPr>
          <w:lang w:val="en-US"/>
        </w:rPr>
        <w:t>I</w:t>
      </w:r>
      <w:r>
        <w:t>-</w:t>
      </w:r>
      <w:r>
        <w:rPr>
          <w:lang w:val="en-US"/>
        </w:rPr>
        <w:t>II</w:t>
      </w:r>
      <w:r>
        <w:t xml:space="preserve"> групп патогенности (опасности)» (зарегистрировано Минюстом России 19 мая 2014 г. № 32325).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3E"/>
    <w:rsid w:val="001424FF"/>
    <w:rsid w:val="00944482"/>
    <w:rsid w:val="00CF623E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23E"/>
    <w:pPr>
      <w:spacing w:before="100" w:beforeAutospacing="1" w:after="100" w:afterAutospacing="1"/>
    </w:pPr>
  </w:style>
  <w:style w:type="character" w:customStyle="1" w:styleId="a4">
    <w:name w:val="Текст сноски Знак"/>
    <w:aliases w:val="Текст сноски Знак Знак Знак Знак2,Текст сноски Знак Знак Знак Знак Знак,Текст сноски Знак Знак Знак1"/>
    <w:basedOn w:val="a0"/>
    <w:link w:val="a5"/>
    <w:semiHidden/>
    <w:locked/>
    <w:rsid w:val="00CF623E"/>
  </w:style>
  <w:style w:type="paragraph" w:styleId="a5">
    <w:name w:val="footnote text"/>
    <w:aliases w:val="Текст сноски Знак Знак Знак,Текст сноски Знак Знак Знак Знак,Текст сноски Знак Знак"/>
    <w:basedOn w:val="a"/>
    <w:link w:val="a4"/>
    <w:semiHidden/>
    <w:unhideWhenUsed/>
    <w:rsid w:val="00CF623E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CF62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CF623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Уровень 2"/>
    <w:basedOn w:val="a"/>
    <w:uiPriority w:val="99"/>
    <w:rsid w:val="00CF623E"/>
    <w:pPr>
      <w:widowControl w:val="0"/>
      <w:tabs>
        <w:tab w:val="num" w:pos="1440"/>
      </w:tabs>
      <w:autoSpaceDE w:val="0"/>
      <w:autoSpaceDN w:val="0"/>
      <w:adjustRightInd w:val="0"/>
      <w:ind w:left="1440" w:hanging="360"/>
      <w:jc w:val="both"/>
    </w:pPr>
    <w:rPr>
      <w:spacing w:val="10"/>
      <w:szCs w:val="20"/>
    </w:rPr>
  </w:style>
  <w:style w:type="character" w:styleId="a6">
    <w:name w:val="footnote reference"/>
    <w:semiHidden/>
    <w:unhideWhenUsed/>
    <w:rsid w:val="00CF623E"/>
    <w:rPr>
      <w:vertAlign w:val="superscript"/>
    </w:rPr>
  </w:style>
  <w:style w:type="character" w:customStyle="1" w:styleId="mw-headline">
    <w:name w:val="mw-headline"/>
    <w:uiPriority w:val="99"/>
    <w:rsid w:val="00CF623E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23E"/>
    <w:pPr>
      <w:spacing w:before="100" w:beforeAutospacing="1" w:after="100" w:afterAutospacing="1"/>
    </w:pPr>
  </w:style>
  <w:style w:type="character" w:customStyle="1" w:styleId="a4">
    <w:name w:val="Текст сноски Знак"/>
    <w:aliases w:val="Текст сноски Знак Знак Знак Знак2,Текст сноски Знак Знак Знак Знак Знак,Текст сноски Знак Знак Знак1"/>
    <w:basedOn w:val="a0"/>
    <w:link w:val="a5"/>
    <w:semiHidden/>
    <w:locked/>
    <w:rsid w:val="00CF623E"/>
  </w:style>
  <w:style w:type="paragraph" w:styleId="a5">
    <w:name w:val="footnote text"/>
    <w:aliases w:val="Текст сноски Знак Знак Знак,Текст сноски Знак Знак Знак Знак,Текст сноски Знак Знак"/>
    <w:basedOn w:val="a"/>
    <w:link w:val="a4"/>
    <w:semiHidden/>
    <w:unhideWhenUsed/>
    <w:rsid w:val="00CF623E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CF62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CF623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Уровень 2"/>
    <w:basedOn w:val="a"/>
    <w:uiPriority w:val="99"/>
    <w:rsid w:val="00CF623E"/>
    <w:pPr>
      <w:widowControl w:val="0"/>
      <w:tabs>
        <w:tab w:val="num" w:pos="1440"/>
      </w:tabs>
      <w:autoSpaceDE w:val="0"/>
      <w:autoSpaceDN w:val="0"/>
      <w:adjustRightInd w:val="0"/>
      <w:ind w:left="1440" w:hanging="360"/>
      <w:jc w:val="both"/>
    </w:pPr>
    <w:rPr>
      <w:spacing w:val="10"/>
      <w:szCs w:val="20"/>
    </w:rPr>
  </w:style>
  <w:style w:type="character" w:styleId="a6">
    <w:name w:val="footnote reference"/>
    <w:semiHidden/>
    <w:unhideWhenUsed/>
    <w:rsid w:val="00CF623E"/>
    <w:rPr>
      <w:vertAlign w:val="superscript"/>
    </w:rPr>
  </w:style>
  <w:style w:type="character" w:customStyle="1" w:styleId="mw-headline">
    <w:name w:val="mw-headline"/>
    <w:uiPriority w:val="99"/>
    <w:rsid w:val="00CF623E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5193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</cp:revision>
  <dcterms:created xsi:type="dcterms:W3CDTF">2015-05-20T08:52:00Z</dcterms:created>
  <dcterms:modified xsi:type="dcterms:W3CDTF">2015-05-20T08:52:00Z</dcterms:modified>
</cp:coreProperties>
</file>